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a84b" w:sz="6" w:space="4"/>
        </w:pBdr>
        <w:spacing w:after="60"/>
        <w:jc w:val="center"/>
      </w:pPr>
      <w:r>
        <w:rPr>
          <w:rFonts w:ascii="Arial" w:cs="Arial" w:eastAsia="Arial" w:hAnsi="Arial"/>
          <w:b/>
          <w:bCs/>
          <w:color w:val="1a1a1a"/>
          <w:sz w:val="26"/>
          <w:szCs w:val="26"/>
        </w:rPr>
        <w:t xml:space="preserve">URSA AVUKATLIK BUROSU</w:t>
      </w:r>
      <w:r>
        <w:rPr>
          <w:rFonts w:ascii="Arial" w:cs="Arial" w:eastAsia="Arial" w:hAnsi="Arial"/>
          <w:color w:val="BBBBBB"/>
          <w:sz w:val="22"/>
          <w:szCs w:val="22"/>
        </w:rPr>
        <w:t xml:space="preserve">   |   </w:t>
      </w:r>
      <w:r>
        <w:rPr>
          <w:rFonts w:ascii="Arial" w:cs="Arial" w:eastAsia="Arial" w:hAnsi="Arial"/>
          <w:color w:val="555555"/>
          <w:sz w:val="22"/>
          <w:szCs w:val="22"/>
        </w:rPr>
        <w:t xml:space="preserve">Av. Halil Ibrahim Uygur</w:t>
      </w:r>
    </w:p>
    <w:p>
      <w:pPr>
        <w:spacing w:before="60" w:after="200"/>
        <w:jc w:val="center"/>
      </w:pPr>
      <w:r>
        <w:rPr>
          <w:rFonts w:ascii="Arial" w:cs="Arial" w:eastAsia="Arial" w:hAnsi="Arial"/>
          <w:color w:val="888888"/>
          <w:sz w:val="18"/>
          <w:szCs w:val="18"/>
        </w:rPr>
        <w:t xml:space="preserve">Demirtaspasa Mah. Celal Bayar Cad. Ata Sk. No:1 Kat:2/204 Osmangazi/Bursa  |  +90 541 210 34 99  |  bilgi@ursaavukatlik.com</w:t>
      </w:r>
    </w:p>
    <w:p>
      <w:pPr>
        <w:spacing w:before="160" w:after="200"/>
        <w:jc w:val="center"/>
      </w:pPr>
      <w:r>
        <w:rPr>
          <w:rFonts w:ascii="Arial" w:cs="Arial" w:eastAsia="Arial" w:hAnsi="Arial"/>
          <w:b/>
          <w:bCs/>
          <w:color w:val="1a1a1a"/>
          <w:sz w:val="32"/>
          <w:szCs w:val="32"/>
        </w:rPr>
        <w:t xml:space="preserve">TRAFIK KAZASI AVUKATLIK SOZLESMESI</w:t>
      </w:r>
    </w:p>
    <w:p>
      <w:r>
        <w:rPr>
          <w:rFonts w:ascii="Arial" w:cs="Arial" w:eastAsia="Arial" w:hAnsi="Arial"/>
          <w:sz w:val="22"/>
          <w:szCs w:val="22"/>
        </w:rPr>
        <w:t xml:space="preserve"/>
      </w:r>
    </w:p>
    <w:p>
      <w:pPr>
        <w:pBdr>
          <w:bottom w:val="single" w:color="c8a84b" w:sz="4" w:space="2"/>
        </w:pBdr>
        <w:spacing w:before="280" w:after="100"/>
      </w:pPr>
      <w:r>
        <w:rPr>
          <w:rFonts w:ascii="Arial" w:cs="Arial" w:eastAsia="Arial" w:hAnsi="Arial"/>
          <w:b/>
          <w:bCs/>
          <w:color w:val="1a1a1a"/>
          <w:sz w:val="24"/>
          <w:szCs w:val="24"/>
        </w:rPr>
        <w:t xml:space="preserve">TARAFLAR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Muvekkil Adi Soyadi / Unvani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T.C. Kimlik No / Vergi No</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Adres</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Telefon</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E-posta</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Avukat</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Av. Halil Ibrahim Uygur</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Baro Sicil No</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Buro Adresi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Demirtaspasa Mah. Celal Bayar Cad. Ata Sk. No:1 Kat:2/204 Osmangazi/Bursa</w:t>
            </w:r>
          </w:p>
        </w:tc>
      </w:tr>
    </w:tbl>
    <w:p>
      <w:r>
        <w:rPr>
          <w:rFonts w:ascii="Arial" w:cs="Arial" w:eastAsia="Arial" w:hAnsi="Arial"/>
          <w:sz w:val="22"/>
          <w:szCs w:val="22"/>
        </w:rPr>
        <w:t xml:space="preserve"/>
      </w:r>
    </w:p>
    <w:p>
      <w:pPr>
        <w:spacing w:before="220" w:after="80"/>
      </w:pPr>
      <w:r>
        <w:rPr>
          <w:rFonts w:ascii="Arial" w:cs="Arial" w:eastAsia="Arial" w:hAnsi="Arial"/>
          <w:b/>
          <w:bCs/>
          <w:sz w:val="22"/>
          <w:szCs w:val="22"/>
        </w:rPr>
        <w:t xml:space="preserve">Madde 1 - Sozlesmenin Konusu ve Kapsami</w:t>
      </w:r>
    </w:p>
    <w:p>
      <w:pPr>
        <w:spacing w:before="60" w:after="100"/>
        <w:ind w:left="360"/>
        <w:jc w:val="both"/>
      </w:pPr>
      <w:r>
        <w:rPr>
          <w:rFonts w:ascii="Arial" w:cs="Arial" w:eastAsia="Arial" w:hAnsi="Arial"/>
          <w:sz w:val="22"/>
          <w:szCs w:val="22"/>
        </w:rPr>
        <w:t xml:space="preserve">Bu sozlesme, muvekkil tarafindan avukata verilen gorevin kapsamini, ucretini ve taraflarin karsilikli hak ve yukumluluklerini duzenler. Avukat; trafik kazasindan dogan maddi ve manevi tazminat talepleri, sigorta sirketine basvuru ve muzakere sureci, Sigorta Tahkim Komisyonu basvurusu, tazminat davasi acilmasi ve takibi, maluliyet tespiti koordinasyonu ile ceza sorusturmasi ve kovusturmasinda temsil konularinda muvekkili temsil eder.</w:t>
      </w:r>
    </w:p>
    <w:p>
      <w:pPr>
        <w:spacing w:before="220" w:after="80"/>
      </w:pPr>
      <w:r>
        <w:rPr>
          <w:rFonts w:ascii="Arial" w:cs="Arial" w:eastAsia="Arial" w:hAnsi="Arial"/>
          <w:b/>
          <w:bCs/>
          <w:sz w:val="22"/>
          <w:szCs w:val="22"/>
        </w:rPr>
        <w:t xml:space="preserve">Madde 2 - Avukatin Yukumlulukleri</w:t>
      </w:r>
    </w:p>
    <w:p>
      <w:pPr>
        <w:spacing w:before="60" w:after="100"/>
        <w:ind w:left="360"/>
        <w:jc w:val="both"/>
      </w:pPr>
      <w:r>
        <w:rPr>
          <w:rFonts w:ascii="Arial" w:cs="Arial" w:eastAsia="Arial" w:hAnsi="Arial"/>
          <w:sz w:val="22"/>
          <w:szCs w:val="22"/>
        </w:rPr>
        <w:t xml:space="preserve">Avukat; ustlendigi isi ozenle, donustlukle ve muvekkil menfaatini gozeterek yurutur. Dava ve islemlerin seyri hakkinda muvekkili duzenli olarak bilgilendirir. Yargilama veya tahkim surecini etkileyen onemli gelismeleri muvekkile en kisa surede iletir. Gerektiginde yetkili mahkemelerde, tahkim kurullarinda ve idari mercilerde muvekkili bizzat veya yetkilendirece- gi meslektasi araciligiyla temsil eder.</w:t>
      </w:r>
    </w:p>
    <w:p>
      <w:pPr>
        <w:spacing w:before="220" w:after="80"/>
      </w:pPr>
      <w:r>
        <w:rPr>
          <w:rFonts w:ascii="Arial" w:cs="Arial" w:eastAsia="Arial" w:hAnsi="Arial"/>
          <w:b/>
          <w:bCs/>
          <w:sz w:val="22"/>
          <w:szCs w:val="22"/>
        </w:rPr>
        <w:t xml:space="preserve">Madde 3 - Muvekkilin Yukumlulukleri</w:t>
      </w:r>
    </w:p>
    <w:p>
      <w:pPr>
        <w:spacing w:before="60" w:after="100"/>
        <w:ind w:left="360"/>
        <w:jc w:val="both"/>
      </w:pPr>
      <w:r>
        <w:rPr>
          <w:rFonts w:ascii="Arial" w:cs="Arial" w:eastAsia="Arial" w:hAnsi="Arial"/>
          <w:sz w:val="22"/>
          <w:szCs w:val="22"/>
        </w:rPr>
        <w:t xml:space="preserve">Muvekkil; kaza ile ilgili tum belge, bilgi ve delilleri eksiksiz ve dogru sekilde avukata iletmekle yukumludur. Avukatin talep ettigi belgeleri gecikmeksizin temin eder. Surec boyunca avukatin yonlendirmelerine uyar ve avukati bilgilendirmeden karsi tarafla, sigorta sirketiyle veya herhangi bir ucuncu kisiyle hukuki nitelikte muzakere yapmaz.</w:t>
      </w:r>
    </w:p>
    <w:p>
      <w:pPr>
        <w:spacing w:before="220" w:after="80"/>
      </w:pPr>
      <w:r>
        <w:rPr>
          <w:rFonts w:ascii="Arial" w:cs="Arial" w:eastAsia="Arial" w:hAnsi="Arial"/>
          <w:b/>
          <w:bCs/>
          <w:sz w:val="22"/>
          <w:szCs w:val="22"/>
        </w:rPr>
        <w:t xml:space="preserve">Madde 4 - Avukatlik Ucreti</w:t>
      </w:r>
    </w:p>
    <w:p>
      <w:pPr>
        <w:spacing w:before="60" w:after="100"/>
        <w:ind w:left="360"/>
        <w:jc w:val="both"/>
      </w:pPr>
      <w:r>
        <w:rPr>
          <w:rFonts w:ascii="Arial" w:cs="Arial" w:eastAsia="Arial" w:hAnsi="Arial"/>
          <w:sz w:val="22"/>
          <w:szCs w:val="22"/>
        </w:rPr>
        <w:t xml:space="preserve">Avukatlik ucreti, 2025-2026 Avukatlik Asgari Ucret Tarifesi (AAUT) esas alinarak taraflarca asagida belirlenen kosullarda kararlestirilmistir. Kararlastrilan ucret tarifeyle belirlenen asgari sinirin altina inemez. Basari ucreti sozlesmelerinde ucret, tazminat veya odemenin tahsilinden sonra odenir ve dava degerinin %25'ini asamaz.</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Ucret Turu</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Sabit Ucret / Basari Ucreti / Her Ikisi</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Kararlastrilan Tutar / Oran</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Odeme Sekli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Pesin Odeme (varsa)</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Basari Ucreti Kosulu (varsa)</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Tazminat tahsilinden sonra odenir</w:t>
            </w:r>
          </w:p>
        </w:tc>
      </w:tr>
    </w:tbl>
    <w:p>
      <w:r>
        <w:rPr>
          <w:rFonts w:ascii="Arial" w:cs="Arial" w:eastAsia="Arial" w:hAnsi="Arial"/>
          <w:sz w:val="22"/>
          <w:szCs w:val="22"/>
        </w:rPr>
        <w:t xml:space="preserve"/>
      </w:r>
    </w:p>
    <w:p>
      <w:pPr>
        <w:spacing w:before="220" w:after="80"/>
      </w:pPr>
      <w:r>
        <w:rPr>
          <w:rFonts w:ascii="Arial" w:cs="Arial" w:eastAsia="Arial" w:hAnsi="Arial"/>
          <w:b/>
          <w:bCs/>
          <w:sz w:val="22"/>
          <w:szCs w:val="22"/>
        </w:rPr>
        <w:t xml:space="preserve">Madde 5 - Masraflar</w:t>
      </w:r>
    </w:p>
    <w:p>
      <w:pPr>
        <w:spacing w:before="60" w:after="100"/>
        <w:ind w:left="360"/>
        <w:jc w:val="both"/>
      </w:pPr>
      <w:r>
        <w:rPr>
          <w:rFonts w:ascii="Arial" w:cs="Arial" w:eastAsia="Arial" w:hAnsi="Arial"/>
          <w:sz w:val="22"/>
          <w:szCs w:val="22"/>
        </w:rPr>
        <w:t xml:space="preserve">Dava acma harci, tebligat giderleri, bilirkisi ve kesif masraflari ile diger yargilama giderleri muvekkil tarafindan karsilanir. Avukat bu masraflari onceden muvekkile bildirir; masraflar avukatlik ucretine dahil degildir.</w:t>
      </w:r>
    </w:p>
    <w:p>
      <w:pPr>
        <w:spacing w:before="220" w:after="80"/>
      </w:pPr>
      <w:r>
        <w:rPr>
          <w:rFonts w:ascii="Arial" w:cs="Arial" w:eastAsia="Arial" w:hAnsi="Arial"/>
          <w:b/>
          <w:bCs/>
          <w:sz w:val="22"/>
          <w:szCs w:val="22"/>
        </w:rPr>
        <w:t xml:space="preserve">Madde 6 - Sozlesmenin Sona Ermesi</w:t>
      </w:r>
    </w:p>
    <w:p>
      <w:pPr>
        <w:spacing w:before="60" w:after="100"/>
        <w:ind w:left="360"/>
        <w:jc w:val="both"/>
      </w:pPr>
      <w:r>
        <w:rPr>
          <w:rFonts w:ascii="Arial" w:cs="Arial" w:eastAsia="Arial" w:hAnsi="Arial"/>
          <w:sz w:val="22"/>
          <w:szCs w:val="22"/>
        </w:rPr>
        <w:t xml:space="preserve">Muvekkil her zaman azil hakkina sahiptir; ancak bu durumda o gune kadar yapilan isler karsiligi olarak avukata orantili ucret odenir. Avukat, hakli bir neden olmaksizin isi birakmaz.</w:t>
      </w:r>
    </w:p>
    <w:p>
      <w:pPr>
        <w:spacing w:before="220" w:after="80"/>
      </w:pPr>
      <w:r>
        <w:rPr>
          <w:rFonts w:ascii="Arial" w:cs="Arial" w:eastAsia="Arial" w:hAnsi="Arial"/>
          <w:b/>
          <w:bCs/>
          <w:sz w:val="22"/>
          <w:szCs w:val="22"/>
        </w:rPr>
        <w:t xml:space="preserve">Madde 7 - Gizlilik</w:t>
      </w:r>
    </w:p>
    <w:p>
      <w:pPr>
        <w:spacing w:before="60" w:after="100"/>
        <w:ind w:left="360"/>
        <w:jc w:val="both"/>
      </w:pPr>
      <w:r>
        <w:rPr>
          <w:rFonts w:ascii="Arial" w:cs="Arial" w:eastAsia="Arial" w:hAnsi="Arial"/>
          <w:sz w:val="22"/>
          <w:szCs w:val="22"/>
        </w:rPr>
        <w:t xml:space="preserve">Avukat, muvekkilden edindigi tum bilgileri gizli tutar ve ucuncu kisilerle paylasmaz. Bu yukumluluk sozlesmenin sona ermesinden sonra da gecerliligini korur.</w:t>
      </w:r>
    </w:p>
    <w:p>
      <w:pPr>
        <w:spacing w:before="220" w:after="80"/>
      </w:pPr>
      <w:r>
        <w:rPr>
          <w:rFonts w:ascii="Arial" w:cs="Arial" w:eastAsia="Arial" w:hAnsi="Arial"/>
          <w:b/>
          <w:bCs/>
          <w:sz w:val="22"/>
          <w:szCs w:val="22"/>
        </w:rPr>
        <w:t xml:space="preserve">Madde 8 - Uyusmazlik Cozumu</w:t>
      </w:r>
    </w:p>
    <w:p>
      <w:pPr>
        <w:spacing w:before="60" w:after="100"/>
        <w:ind w:left="360"/>
        <w:jc w:val="both"/>
      </w:pPr>
      <w:r>
        <w:rPr>
          <w:rFonts w:ascii="Arial" w:cs="Arial" w:eastAsia="Arial" w:hAnsi="Arial"/>
          <w:sz w:val="22"/>
          <w:szCs w:val="22"/>
        </w:rPr>
        <w:t xml:space="preserve">Bu sozlesmeden dogabilecek uyusmazliklarda oncelikle Turkiye Barolar Birligi Tahkim Kurulu'na basvurulabilir. Anlasmazlik halinde Bursa Mahkemeleri ve Icra Daireleri yetkilidir.</w:t>
      </w:r>
    </w:p>
    <w:p>
      <w:r>
        <w:rPr>
          <w:rFonts w:ascii="Arial" w:cs="Arial" w:eastAsia="Arial" w:hAnsi="Arial"/>
          <w:sz w:val="22"/>
          <w:szCs w:val="22"/>
        </w:rPr>
        <w:t xml:space="preserve"/>
      </w:r>
    </w:p>
    <w:p>
      <w:pPr>
        <w:spacing w:before="160" w:after="80"/>
        <w:jc w:val="center"/>
      </w:pPr>
      <w:r>
        <w:rPr>
          <w:rFonts w:ascii="Arial" w:cs="Arial" w:eastAsia="Arial" w:hAnsi="Arial"/>
          <w:i/>
          <w:iCs/>
          <w:color w:val="555555"/>
          <w:sz w:val="20"/>
          <w:szCs w:val="20"/>
        </w:rPr>
        <w:t xml:space="preserve">Isbu sozlesme iki nussha olarak duzenlenmis olup her iki tarafca okunarak imzalanmistir.</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MUVEKKIL</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AVUKAT</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r>
    </w:tbl>
    <w:p>
      <w:r>
        <w:rPr>
          <w:rFonts w:ascii="Arial" w:cs="Arial" w:eastAsia="Arial" w:hAnsi="Arial"/>
          <w:sz w:val="22"/>
          <w:szCs w:val="22"/>
        </w:rPr>
        <w:t xml:space="preserve"/>
      </w:r>
    </w:p>
    <w:p>
      <w:pPr>
        <w:pBdr>
          <w:top w:val="single" w:color="DDDDDD" w:sz="4" w:space="4"/>
        </w:pBdr>
        <w:spacing w:before="300"/>
      </w:pPr>
    </w:p>
    <w:p>
      <w:pPr>
        <w:spacing w:before="80" w:after="60"/>
      </w:pPr>
      <w:r>
        <w:rPr>
          <w:rFonts w:ascii="Arial" w:cs="Arial" w:eastAsia="Arial" w:hAnsi="Arial"/>
          <w:b/>
          <w:bCs/>
          <w:color w:val="555555"/>
          <w:sz w:val="19"/>
          <w:szCs w:val="19"/>
        </w:rPr>
        <w:t xml:space="preserve">Kaynak &amp; Daha Fazla Bilgi:</w:t>
      </w:r>
    </w:p>
    <w:p>
      <w:pPr>
        <w:spacing w:before="40" w:after="40"/>
      </w:pPr>
      <w:r>
        <w:rPr>
          <w:rFonts w:ascii="Arial" w:cs="Arial" w:eastAsia="Arial" w:hAnsi="Arial"/>
          <w:color w:val="555555"/>
          <w:sz w:val="19"/>
          <w:szCs w:val="19"/>
        </w:rPr>
        <w:t xml:space="preserve">Trafik Kazasi Avukati - Ursa Avukatlik: </w:t>
      </w:r>
      <w:hyperlink w:history="1" r:id="rId6xk6os-srhow9jx7mxct_">
        <w:r>
          <w:rPr>
            <w:rFonts w:ascii="Arial" w:cs="Arial" w:eastAsia="Arial" w:hAnsi="Arial"/>
            <w:color w:val="1a6fba"/>
            <w:sz w:val="19"/>
            <w:szCs w:val="19"/>
            <w:u w:val="single"/>
          </w:rPr>
          <w:t xml:space="preserve">https://ursaavukatlik.com/trafik-kazasi-avukati/</w:t>
        </w:r>
      </w:hyperlink>
    </w:p>
    <w:p>
      <w:pPr>
        <w:spacing w:before="40" w:after="40"/>
      </w:pPr>
      <w:r>
        <w:rPr>
          <w:rFonts w:ascii="Arial" w:cs="Arial" w:eastAsia="Arial" w:hAnsi="Arial"/>
          <w:color w:val="888888"/>
          <w:sz w:val="18"/>
          <w:szCs w:val="18"/>
        </w:rPr>
        <w:t xml:space="preserve">Telefon: +90 541 210 34 99  |  bilgi@ursaavukatlik.com  |  ursaavukatlik.com</w:t>
      </w:r>
    </w:p>
    <w:sectPr>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xk6os-srhow9jx7mxct_" Type="http://schemas.openxmlformats.org/officeDocument/2006/relationships/hyperlink" Target="https://ursaavukatlik.com/trafik-kazasi-avukati/"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2026-02-21T00:04:39.603Z</dcterms:created>
  <dcterms:modified xsi:type="dcterms:W3CDTF">2026-02-21T00:04:39.603Z</dcterms:modified>
</cp:coreProperties>
</file>

<file path=docProps/custom.xml><?xml version="1.0" encoding="utf-8"?>
<Properties xmlns="http://schemas.openxmlformats.org/officeDocument/2006/custom-properties" xmlns:vt="http://schemas.openxmlformats.org/officeDocument/2006/docPropsVTypes"/>
</file>